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22" w:rsidRDefault="00012E22" w:rsidP="00D65D6B">
      <w:pPr>
        <w:spacing w:line="480" w:lineRule="auto"/>
        <w:outlineLvl w:val="0"/>
        <w:rPr>
          <w:rFonts w:asci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cs="Times New Roman"/>
          <w:b/>
          <w:bCs/>
          <w:sz w:val="24"/>
          <w:szCs w:val="24"/>
        </w:rPr>
        <w:t>Web-only tables</w:t>
      </w:r>
    </w:p>
    <w:p w:rsidR="00012E22" w:rsidRPr="00344629" w:rsidRDefault="00012E22" w:rsidP="00D65D6B">
      <w:pPr>
        <w:wordWrap/>
        <w:adjustRightInd w:val="0"/>
        <w:spacing w:line="480" w:lineRule="auto"/>
        <w:jc w:val="left"/>
        <w:rPr>
          <w:rFonts w:ascii="Times New Roman" w:cs="Times New Roman"/>
          <w:sz w:val="24"/>
          <w:szCs w:val="24"/>
        </w:rPr>
      </w:pPr>
      <w:proofErr w:type="gramStart"/>
      <w:r>
        <w:rPr>
          <w:rFonts w:ascii="Times New Roman" w:cs="Times New Roman"/>
          <w:b/>
          <w:bCs/>
          <w:sz w:val="24"/>
          <w:szCs w:val="24"/>
        </w:rPr>
        <w:t>Web-only t</w:t>
      </w:r>
      <w:r w:rsidRPr="00F27666">
        <w:rPr>
          <w:rFonts w:ascii="Times New Roman" w:cs="Times New Roman"/>
          <w:b/>
          <w:bCs/>
          <w:sz w:val="24"/>
          <w:szCs w:val="24"/>
        </w:rPr>
        <w:t xml:space="preserve">able </w:t>
      </w:r>
      <w:r>
        <w:rPr>
          <w:rFonts w:ascii="Times New Roman" w:cs="Times New Roman"/>
          <w:b/>
          <w:bCs/>
          <w:sz w:val="24"/>
          <w:szCs w:val="24"/>
        </w:rPr>
        <w:t>1.</w:t>
      </w:r>
      <w:proofErr w:type="gramEnd"/>
      <w:r>
        <w:rPr>
          <w:rFonts w:ascii="Times New Roman" w:cs="Times New Roman"/>
          <w:b/>
          <w:bCs/>
          <w:sz w:val="24"/>
          <w:szCs w:val="24"/>
        </w:rPr>
        <w:t xml:space="preserve"> </w:t>
      </w:r>
      <w:r w:rsidRPr="00344629">
        <w:rPr>
          <w:rFonts w:ascii="Times New Roman" w:cs="Times New Roman"/>
          <w:sz w:val="24"/>
          <w:szCs w:val="24"/>
        </w:rPr>
        <w:t xml:space="preserve"> Angiographic stage of </w:t>
      </w:r>
      <w:proofErr w:type="spellStart"/>
      <w:r w:rsidRPr="00344629">
        <w:rPr>
          <w:rFonts w:ascii="Times New Roman" w:cs="Times New Roman"/>
          <w:sz w:val="24"/>
          <w:szCs w:val="24"/>
        </w:rPr>
        <w:t>Moyamoya</w:t>
      </w:r>
      <w:proofErr w:type="spellEnd"/>
      <w:r w:rsidRPr="00344629">
        <w:rPr>
          <w:rFonts w:ascii="Times New Roman" w:cs="Times New Roman"/>
          <w:sz w:val="24"/>
          <w:szCs w:val="24"/>
        </w:rPr>
        <w:t xml:space="preserve"> disease</w:t>
      </w:r>
    </w:p>
    <w:tbl>
      <w:tblPr>
        <w:tblW w:w="0" w:type="auto"/>
        <w:tblInd w:w="-106" w:type="dxa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959"/>
        <w:gridCol w:w="8265"/>
      </w:tblGrid>
      <w:tr w:rsidR="00012E22" w:rsidRPr="008E3F16">
        <w:tc>
          <w:tcPr>
            <w:tcW w:w="95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8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lef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012E22" w:rsidRPr="00344629">
        <w:tc>
          <w:tcPr>
            <w:tcW w:w="959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5" w:type="dxa"/>
            <w:tcBorders>
              <w:top w:val="single" w:sz="2" w:space="0" w:color="000000"/>
              <w:lef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proofErr w:type="gramStart"/>
            <w:r w:rsidRPr="008C376A">
              <w:rPr>
                <w:rFonts w:ascii="Times New Roman" w:cs="Times New Roman"/>
                <w:sz w:val="24"/>
                <w:szCs w:val="24"/>
              </w:rPr>
              <w:t>narrowing</w:t>
            </w:r>
            <w:proofErr w:type="gram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of the carotid bifurcation (less than 50%)</w:t>
            </w:r>
          </w:p>
        </w:tc>
      </w:tr>
      <w:tr w:rsidR="00012E22" w:rsidRPr="00344629">
        <w:tc>
          <w:tcPr>
            <w:tcW w:w="959" w:type="dxa"/>
            <w:tcBorders>
              <w:top w:val="nil"/>
              <w:bottom w:val="nil"/>
              <w:righ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5" w:type="dxa"/>
            <w:tcBorders>
              <w:lef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 xml:space="preserve">progressive carotid stenosis (more than 50% ) with initial </w:t>
            </w:r>
            <w:proofErr w:type="spellStart"/>
            <w:r w:rsidRPr="008C376A">
              <w:rPr>
                <w:rFonts w:ascii="Times New Roman" w:cs="Times New Roman"/>
                <w:sz w:val="24"/>
                <w:szCs w:val="24"/>
              </w:rPr>
              <w:t>Moyamoya</w:t>
            </w:r>
            <w:proofErr w:type="spell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collaterals and dilatations of the ACA and MCA</w:t>
            </w:r>
          </w:p>
        </w:tc>
      </w:tr>
      <w:tr w:rsidR="00012E22" w:rsidRPr="00344629">
        <w:tc>
          <w:tcPr>
            <w:tcW w:w="959" w:type="dxa"/>
            <w:tcBorders>
              <w:top w:val="nil"/>
              <w:bottom w:val="nil"/>
              <w:righ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5" w:type="dxa"/>
            <w:tcBorders>
              <w:lef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 xml:space="preserve">dilatation and intensification of </w:t>
            </w:r>
            <w:proofErr w:type="spellStart"/>
            <w:r w:rsidRPr="008C376A">
              <w:rPr>
                <w:rFonts w:ascii="Times New Roman" w:cs="Times New Roman"/>
                <w:sz w:val="24"/>
                <w:szCs w:val="24"/>
              </w:rPr>
              <w:t>Moyamoya</w:t>
            </w:r>
            <w:proofErr w:type="spell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collaterals and partial disappearance of terminal </w:t>
            </w:r>
            <w:proofErr w:type="spellStart"/>
            <w:r w:rsidRPr="008C376A">
              <w:rPr>
                <w:rFonts w:ascii="Times New Roman" w:cs="Times New Roman"/>
                <w:sz w:val="24"/>
                <w:szCs w:val="24"/>
              </w:rPr>
              <w:t>segement</w:t>
            </w:r>
            <w:proofErr w:type="spell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of the ICA and proximal segment of the ACA and MCA</w:t>
            </w:r>
          </w:p>
        </w:tc>
      </w:tr>
      <w:tr w:rsidR="00012E22" w:rsidRPr="00344629">
        <w:tc>
          <w:tcPr>
            <w:tcW w:w="959" w:type="dxa"/>
            <w:tcBorders>
              <w:top w:val="nil"/>
              <w:bottom w:val="nil"/>
              <w:righ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5" w:type="dxa"/>
            <w:tcBorders>
              <w:lef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 xml:space="preserve">Advanced </w:t>
            </w:r>
            <w:proofErr w:type="spellStart"/>
            <w:r w:rsidRPr="008C376A">
              <w:rPr>
                <w:rFonts w:ascii="Times New Roman" w:cs="Times New Roman"/>
                <w:sz w:val="24"/>
                <w:szCs w:val="24"/>
              </w:rPr>
              <w:t>stenoocclusive</w:t>
            </w:r>
            <w:proofErr w:type="spell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changes in the ICA (ACA and MCA are traced very dimly or in a completely different shape) with </w:t>
            </w:r>
            <w:proofErr w:type="spellStart"/>
            <w:r w:rsidRPr="008C376A">
              <w:rPr>
                <w:rFonts w:ascii="Times New Roman" w:cs="Times New Roman"/>
                <w:sz w:val="24"/>
                <w:szCs w:val="24"/>
              </w:rPr>
              <w:t>thining</w:t>
            </w:r>
            <w:proofErr w:type="spell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C376A">
              <w:rPr>
                <w:rFonts w:ascii="Times New Roman" w:cs="Times New Roman"/>
                <w:sz w:val="24"/>
                <w:szCs w:val="24"/>
              </w:rPr>
              <w:t>Moyamoya</w:t>
            </w:r>
            <w:proofErr w:type="spell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collaterals and posterior cerebral arteries</w:t>
            </w:r>
          </w:p>
        </w:tc>
      </w:tr>
      <w:tr w:rsidR="00012E22" w:rsidRPr="00344629">
        <w:tc>
          <w:tcPr>
            <w:tcW w:w="959" w:type="dxa"/>
            <w:tcBorders>
              <w:top w:val="nil"/>
              <w:bottom w:val="nil"/>
              <w:righ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5" w:type="dxa"/>
            <w:tcBorders>
              <w:lef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 xml:space="preserve">absence of the all cerebral vessels with further reduction of </w:t>
            </w:r>
            <w:proofErr w:type="spellStart"/>
            <w:r w:rsidRPr="008C376A">
              <w:rPr>
                <w:rFonts w:ascii="Times New Roman" w:cs="Times New Roman"/>
                <w:sz w:val="24"/>
                <w:szCs w:val="24"/>
              </w:rPr>
              <w:t>Moyamoya</w:t>
            </w:r>
            <w:proofErr w:type="spell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vessels, but subtle anterograde blood flow to the ACA and MCA branches through the basal </w:t>
            </w:r>
            <w:proofErr w:type="spellStart"/>
            <w:r w:rsidRPr="008C376A">
              <w:rPr>
                <w:rFonts w:ascii="Times New Roman" w:cs="Times New Roman"/>
                <w:sz w:val="24"/>
                <w:szCs w:val="24"/>
              </w:rPr>
              <w:t>moyamoya</w:t>
            </w:r>
            <w:proofErr w:type="spell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vessels remained</w:t>
            </w:r>
          </w:p>
        </w:tc>
      </w:tr>
      <w:tr w:rsidR="00012E22" w:rsidRPr="00344629">
        <w:tc>
          <w:tcPr>
            <w:tcW w:w="959" w:type="dxa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5" w:type="dxa"/>
            <w:tcBorders>
              <w:left w:val="single" w:sz="2" w:space="0" w:color="000000"/>
              <w:bottom w:val="single" w:sz="12" w:space="0" w:color="000000"/>
            </w:tcBorders>
          </w:tcPr>
          <w:p w:rsidR="00012E22" w:rsidRPr="008C376A" w:rsidRDefault="00012E22" w:rsidP="008C376A">
            <w:pPr>
              <w:wordWrap/>
              <w:adjustRightInd w:val="0"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proofErr w:type="gramStart"/>
            <w:r w:rsidRPr="008C376A">
              <w:rPr>
                <w:rFonts w:ascii="Times New Roman" w:cs="Times New Roman"/>
                <w:sz w:val="24"/>
                <w:szCs w:val="24"/>
              </w:rPr>
              <w:t>complete</w:t>
            </w:r>
            <w:proofErr w:type="gram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occlusion of the ICA and disappearance of all the ACA and MCA branches. </w:t>
            </w:r>
            <w:proofErr w:type="spellStart"/>
            <w:r w:rsidRPr="008C376A">
              <w:rPr>
                <w:rFonts w:ascii="Times New Roman" w:cs="Times New Roman"/>
                <w:sz w:val="24"/>
                <w:szCs w:val="24"/>
              </w:rPr>
              <w:t>Intracerebral</w:t>
            </w:r>
            <w:proofErr w:type="spellEnd"/>
            <w:r w:rsidRPr="008C376A">
              <w:rPr>
                <w:rFonts w:ascii="Times New Roman" w:cs="Times New Roman"/>
                <w:sz w:val="24"/>
                <w:szCs w:val="24"/>
              </w:rPr>
              <w:t xml:space="preserve"> vessels perfused only from the external carotid and/or vertebral arteries</w:t>
            </w:r>
          </w:p>
        </w:tc>
      </w:tr>
    </w:tbl>
    <w:p w:rsidR="00012E22" w:rsidRPr="00344629" w:rsidRDefault="00012E22" w:rsidP="00D65D6B">
      <w:pPr>
        <w:wordWrap/>
        <w:adjustRightInd w:val="0"/>
        <w:spacing w:line="480" w:lineRule="auto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ACA, anterior cerebral artery; ICA, anterior cerebral artery; MCA, middle cerebral artery</w:t>
      </w:r>
    </w:p>
    <w:p w:rsidR="00012E22" w:rsidRDefault="00012E22" w:rsidP="00D65D6B">
      <w:pPr>
        <w:widowControl/>
        <w:wordWrap/>
        <w:autoSpaceDE/>
        <w:autoSpaceDN/>
        <w:spacing w:line="480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012E22" w:rsidRDefault="00012E22" w:rsidP="00D65D6B">
      <w:pPr>
        <w:wordWrap/>
        <w:spacing w:line="48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 xml:space="preserve">Web-only </w:t>
      </w:r>
      <w:r w:rsidRPr="00755957">
        <w:rPr>
          <w:rFonts w:asci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cs="Times New Roman"/>
          <w:b/>
          <w:bCs/>
          <w:sz w:val="24"/>
          <w:szCs w:val="24"/>
        </w:rPr>
        <w:t>2</w:t>
      </w:r>
      <w:r w:rsidRPr="00234C7C">
        <w:rPr>
          <w:rFonts w:ascii="Times New Roman" w:cs="Times New Roman"/>
          <w:sz w:val="24"/>
          <w:szCs w:val="24"/>
        </w:rPr>
        <w:t xml:space="preserve"> The definition of infarct patterns in </w:t>
      </w:r>
      <w:proofErr w:type="spellStart"/>
      <w:r w:rsidRPr="00234C7C">
        <w:rPr>
          <w:rFonts w:ascii="Times New Roman" w:cs="Times New Roman"/>
          <w:sz w:val="24"/>
          <w:szCs w:val="24"/>
        </w:rPr>
        <w:t>moyamoya</w:t>
      </w:r>
      <w:proofErr w:type="spellEnd"/>
      <w:r w:rsidRPr="00234C7C">
        <w:rPr>
          <w:rFonts w:ascii="Times New Roman" w:cs="Times New Roman"/>
          <w:sz w:val="24"/>
          <w:szCs w:val="24"/>
        </w:rPr>
        <w:t xml:space="preserve"> disease</w:t>
      </w:r>
    </w:p>
    <w:tbl>
      <w:tblPr>
        <w:tblpPr w:leftFromText="142" w:rightFromText="142" w:vertAnchor="text" w:horzAnchor="margin" w:tblpY="92"/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2"/>
        <w:gridCol w:w="6378"/>
      </w:tblGrid>
      <w:tr w:rsidR="00012E22" w:rsidRPr="00234C7C">
        <w:trPr>
          <w:trHeight w:val="520"/>
        </w:trPr>
        <w:tc>
          <w:tcPr>
            <w:tcW w:w="280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B0494B" w:rsidRDefault="00012E22" w:rsidP="00D65D6B">
            <w:pPr>
              <w:wordWrap/>
              <w:autoSpaceDE/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AA07B6">
              <w:rPr>
                <w:rFonts w:ascii="Times New Roman" w:cs="Times New Roman"/>
                <w:b/>
                <w:bCs/>
                <w:sz w:val="24"/>
                <w:szCs w:val="24"/>
              </w:rPr>
              <w:t>Pattern</w:t>
            </w:r>
          </w:p>
        </w:tc>
        <w:tc>
          <w:tcPr>
            <w:tcW w:w="637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B0494B" w:rsidRDefault="00012E22" w:rsidP="00D65D6B">
            <w:pPr>
              <w:wordWrap/>
              <w:autoSpaceDE/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AA07B6">
              <w:rPr>
                <w:rFonts w:asci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012E22" w:rsidRPr="00234C7C">
        <w:trPr>
          <w:trHeight w:val="132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234C7C">
              <w:rPr>
                <w:rFonts w:ascii="Times New Roman" w:cs="Times New Roman"/>
                <w:sz w:val="24"/>
                <w:szCs w:val="24"/>
              </w:rPr>
              <w:t>Gyral</w:t>
            </w:r>
            <w:proofErr w:type="spellEnd"/>
          </w:p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 xml:space="preserve">A fine thread or creeping worm-like lesion along the cortical </w:t>
            </w:r>
            <w:proofErr w:type="spellStart"/>
            <w:r w:rsidRPr="00234C7C">
              <w:rPr>
                <w:rFonts w:ascii="Times New Roman" w:cs="Times New Roman"/>
                <w:sz w:val="24"/>
                <w:szCs w:val="24"/>
              </w:rPr>
              <w:t>gyrus</w:t>
            </w:r>
            <w:proofErr w:type="spellEnd"/>
            <w:r w:rsidRPr="00234C7C">
              <w:rPr>
                <w:rFonts w:ascii="Times New Roman" w:cs="Times New Roman"/>
                <w:sz w:val="24"/>
                <w:szCs w:val="24"/>
              </w:rPr>
              <w:t>, which is confined to the cortex.</w:t>
            </w:r>
          </w:p>
        </w:tc>
      </w:tr>
      <w:tr w:rsidR="00012E22" w:rsidRPr="00234C7C">
        <w:trPr>
          <w:trHeight w:val="132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>Atypical territorial</w:t>
            </w:r>
          </w:p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>A large infarction that is not matched to one classical vascular territory.</w:t>
            </w:r>
          </w:p>
        </w:tc>
      </w:tr>
      <w:tr w:rsidR="00012E22" w:rsidRPr="00234C7C">
        <w:trPr>
          <w:trHeight w:val="128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>Honeycomb</w:t>
            </w:r>
          </w:p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 xml:space="preserve">Grouped and multiple shiver-like lesions located in the cortex and </w:t>
            </w:r>
            <w:proofErr w:type="spellStart"/>
            <w:r w:rsidRPr="00234C7C">
              <w:rPr>
                <w:rFonts w:ascii="Times New Roman" w:cs="Times New Roman"/>
                <w:sz w:val="24"/>
                <w:szCs w:val="24"/>
              </w:rPr>
              <w:t>subcortex</w:t>
            </w:r>
            <w:proofErr w:type="spellEnd"/>
            <w:r w:rsidRPr="00234C7C"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</w:tr>
      <w:tr w:rsidR="00012E22" w:rsidRPr="00234C7C">
        <w:trPr>
          <w:trHeight w:val="132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 xml:space="preserve">Classic territorial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>A typical wedge-shaped infarct involving the major cerebral arterial territory.</w:t>
            </w:r>
          </w:p>
        </w:tc>
      </w:tr>
      <w:tr w:rsidR="00012E22" w:rsidRPr="00234C7C">
        <w:trPr>
          <w:trHeight w:val="132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>Multiple</w:t>
            </w:r>
            <w:r>
              <w:rPr>
                <w:rFonts w:ascii="Times New Roman" w:cs="Times New Roman"/>
                <w:sz w:val="24"/>
                <w:szCs w:val="24"/>
              </w:rPr>
              <w:t>-</w:t>
            </w:r>
            <w:r w:rsidRPr="00234C7C">
              <w:rPr>
                <w:rFonts w:ascii="Times New Roman" w:cs="Times New Roman"/>
                <w:sz w:val="24"/>
                <w:szCs w:val="24"/>
              </w:rPr>
              <w:t xml:space="preserve"> dot</w:t>
            </w:r>
          </w:p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 xml:space="preserve">Multiple small dot-like lesions scattered in one or more vascular territories of the cortex. </w:t>
            </w:r>
          </w:p>
        </w:tc>
      </w:tr>
      <w:tr w:rsidR="00012E22" w:rsidRPr="00234C7C">
        <w:trPr>
          <w:trHeight w:val="132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234C7C">
              <w:rPr>
                <w:rFonts w:ascii="Times New Roman" w:cs="Times New Roman"/>
                <w:sz w:val="24"/>
                <w:szCs w:val="24"/>
              </w:rPr>
              <w:t>Borderzone</w:t>
            </w:r>
            <w:proofErr w:type="spellEnd"/>
          </w:p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 xml:space="preserve">Infarction located in </w:t>
            </w:r>
            <w:proofErr w:type="spellStart"/>
            <w:r w:rsidRPr="00234C7C">
              <w:rPr>
                <w:rFonts w:ascii="Times New Roman" w:cs="Times New Roman"/>
                <w:sz w:val="24"/>
                <w:szCs w:val="24"/>
              </w:rPr>
              <w:t>borderzone</w:t>
            </w:r>
            <w:proofErr w:type="spellEnd"/>
            <w:r w:rsidRPr="00234C7C">
              <w:rPr>
                <w:rFonts w:ascii="Times New Roman" w:cs="Times New Roman"/>
                <w:sz w:val="24"/>
                <w:szCs w:val="24"/>
              </w:rPr>
              <w:t xml:space="preserve"> between two major arterial territories</w:t>
            </w:r>
          </w:p>
        </w:tc>
      </w:tr>
      <w:tr w:rsidR="00012E22" w:rsidRPr="00234C7C">
        <w:trPr>
          <w:trHeight w:val="859"/>
        </w:trPr>
        <w:tc>
          <w:tcPr>
            <w:tcW w:w="280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 xml:space="preserve">Deep lacunar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E22" w:rsidRPr="00234C7C" w:rsidRDefault="00012E22" w:rsidP="00D65D6B">
            <w:pPr>
              <w:wordWrap/>
              <w:autoSpaceDE/>
              <w:spacing w:line="48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234C7C">
              <w:rPr>
                <w:rFonts w:ascii="Times New Roman" w:cs="Times New Roman"/>
                <w:sz w:val="24"/>
                <w:szCs w:val="24"/>
              </w:rPr>
              <w:t>A small infarction in the deep nuclei area</w:t>
            </w:r>
          </w:p>
        </w:tc>
      </w:tr>
    </w:tbl>
    <w:p w:rsidR="00012E22" w:rsidRPr="003776CB" w:rsidRDefault="00012E22" w:rsidP="003776CB">
      <w:pPr>
        <w:widowControl/>
        <w:wordWrap/>
        <w:autoSpaceDE/>
        <w:autoSpaceDN/>
        <w:spacing w:line="480" w:lineRule="auto"/>
        <w:jc w:val="left"/>
        <w:rPr>
          <w:rFonts w:ascii="Times New Roman" w:cs="Times New Roman"/>
          <w:b/>
          <w:bCs/>
          <w:sz w:val="24"/>
          <w:szCs w:val="24"/>
        </w:rPr>
        <w:sectPr w:rsidR="00012E22" w:rsidRPr="003776CB" w:rsidSect="00DC7118">
          <w:pgSz w:w="12240" w:h="15840" w:code="1"/>
          <w:pgMar w:top="1440" w:right="1440" w:bottom="1440" w:left="1440" w:header="851" w:footer="992" w:gutter="0"/>
          <w:cols w:space="425"/>
          <w:docGrid w:linePitch="275"/>
        </w:sectPr>
      </w:pPr>
    </w:p>
    <w:p w:rsidR="00012E22" w:rsidRDefault="00012E22" w:rsidP="00947D10">
      <w:pPr>
        <w:wordWrap/>
        <w:spacing w:line="480" w:lineRule="auto"/>
        <w:ind w:firstLineChars="100" w:firstLine="240"/>
        <w:rPr>
          <w:rFonts w:ascii="Times New Roman" w:cs="Times New Roman"/>
          <w:sz w:val="24"/>
          <w:szCs w:val="24"/>
        </w:rPr>
      </w:pPr>
    </w:p>
    <w:p w:rsidR="00012E22" w:rsidRPr="00344629" w:rsidRDefault="00012E22" w:rsidP="00D65D6B">
      <w:pPr>
        <w:wordWrap/>
        <w:adjustRightInd w:val="0"/>
        <w:spacing w:line="480" w:lineRule="auto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Web-only t</w:t>
      </w:r>
      <w:r w:rsidRPr="00F27666">
        <w:rPr>
          <w:rFonts w:ascii="Times New Roman" w:cs="Times New Roman"/>
          <w:b/>
          <w:bCs/>
          <w:sz w:val="24"/>
          <w:szCs w:val="24"/>
        </w:rPr>
        <w:t>able</w:t>
      </w:r>
      <w:r>
        <w:rPr>
          <w:rFonts w:ascii="Times New Roman" w:cs="Times New Roman"/>
          <w:b/>
          <w:bCs/>
          <w:sz w:val="24"/>
          <w:szCs w:val="24"/>
        </w:rPr>
        <w:t xml:space="preserve"> 3 </w:t>
      </w:r>
      <w:r w:rsidRPr="00344629">
        <w:rPr>
          <w:rFonts w:ascii="Times New Roman" w:cs="Times New Roman"/>
          <w:sz w:val="24"/>
          <w:szCs w:val="24"/>
        </w:rPr>
        <w:t xml:space="preserve">Angiographic stage of </w:t>
      </w:r>
      <w:proofErr w:type="spellStart"/>
      <w:r w:rsidRPr="00344629">
        <w:rPr>
          <w:rFonts w:ascii="Times New Roman" w:cs="Times New Roman"/>
          <w:sz w:val="24"/>
          <w:szCs w:val="24"/>
        </w:rPr>
        <w:t>Moyamoya</w:t>
      </w:r>
      <w:proofErr w:type="spellEnd"/>
      <w:r w:rsidRPr="00344629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patients and stroke pattern</w:t>
      </w:r>
    </w:p>
    <w:tbl>
      <w:tblPr>
        <w:tblW w:w="5248" w:type="pct"/>
        <w:tblInd w:w="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1"/>
        <w:gridCol w:w="1137"/>
        <w:gridCol w:w="139"/>
        <w:gridCol w:w="710"/>
        <w:gridCol w:w="710"/>
        <w:gridCol w:w="144"/>
        <w:gridCol w:w="705"/>
        <w:gridCol w:w="710"/>
        <w:gridCol w:w="144"/>
        <w:gridCol w:w="705"/>
        <w:gridCol w:w="710"/>
        <w:gridCol w:w="144"/>
        <w:gridCol w:w="705"/>
        <w:gridCol w:w="675"/>
        <w:gridCol w:w="177"/>
        <w:gridCol w:w="705"/>
        <w:gridCol w:w="707"/>
        <w:gridCol w:w="144"/>
        <w:gridCol w:w="705"/>
        <w:gridCol w:w="710"/>
        <w:gridCol w:w="139"/>
        <w:gridCol w:w="707"/>
        <w:gridCol w:w="710"/>
      </w:tblGrid>
      <w:tr w:rsidR="00012E22" w:rsidRPr="00D65D6B">
        <w:trPr>
          <w:trHeight w:val="284"/>
        </w:trPr>
        <w:tc>
          <w:tcPr>
            <w:tcW w:w="574" w:type="pct"/>
            <w:vMerge w:val="restart"/>
            <w:tcBorders>
              <w:top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Angiographic stage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51" w:type="pct"/>
            <w:tcBorders>
              <w:top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7" w:type="pct"/>
            <w:gridSpan w:val="20"/>
            <w:tcBorders>
              <w:top w:val="single" w:sz="12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Stroke pattern</w:t>
            </w:r>
          </w:p>
        </w:tc>
      </w:tr>
      <w:tr w:rsidR="00012E22" w:rsidRPr="00D65D6B">
        <w:trPr>
          <w:trHeight w:val="144"/>
        </w:trPr>
        <w:tc>
          <w:tcPr>
            <w:tcW w:w="574" w:type="pct"/>
            <w:vMerge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Gyral</w:t>
            </w:r>
            <w:proofErr w:type="spellEnd"/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Atypical territorial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Honeycomb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Classic territorial</w:t>
            </w:r>
          </w:p>
        </w:tc>
        <w:tc>
          <w:tcPr>
            <w:tcW w:w="65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Multiple dot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Borderzone</w:t>
            </w:r>
            <w:proofErr w:type="spellEnd"/>
          </w:p>
        </w:tc>
        <w:tc>
          <w:tcPr>
            <w:tcW w:w="5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Deep lacunar</w:t>
            </w:r>
          </w:p>
        </w:tc>
      </w:tr>
      <w:tr w:rsidR="00012E22">
        <w:trPr>
          <w:trHeight w:val="147"/>
        </w:trPr>
        <w:tc>
          <w:tcPr>
            <w:tcW w:w="574" w:type="pct"/>
            <w:vMerge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" w:type="pct"/>
            <w:tcBorders>
              <w:top w:val="nil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" w:type="pct"/>
            <w:tcBorders>
              <w:top w:val="nil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" w:type="pct"/>
            <w:tcBorders>
              <w:top w:val="nil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" w:type="pct"/>
            <w:tcBorders>
              <w:top w:val="nil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0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" w:type="pct"/>
            <w:tcBorders>
              <w:top w:val="nil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" w:type="pct"/>
            <w:tcBorders>
              <w:top w:val="nil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8C376A">
              <w:rPr>
                <w:rFonts w:asci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012E22">
        <w:trPr>
          <w:trHeight w:val="269"/>
        </w:trPr>
        <w:tc>
          <w:tcPr>
            <w:tcW w:w="574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18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</w:tr>
      <w:tr w:rsidR="00012E22">
        <w:trPr>
          <w:trHeight w:val="284"/>
        </w:trPr>
        <w:tc>
          <w:tcPr>
            <w:tcW w:w="574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53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21</w:t>
            </w:r>
          </w:p>
        </w:tc>
      </w:tr>
      <w:tr w:rsidR="00012E22">
        <w:trPr>
          <w:trHeight w:val="270"/>
        </w:trPr>
        <w:tc>
          <w:tcPr>
            <w:tcW w:w="574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53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15</w:t>
            </w:r>
          </w:p>
        </w:tc>
      </w:tr>
      <w:tr w:rsidR="00012E22">
        <w:trPr>
          <w:trHeight w:val="414"/>
        </w:trPr>
        <w:tc>
          <w:tcPr>
            <w:tcW w:w="574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53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53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53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65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</w:tr>
      <w:tr w:rsidR="00012E22">
        <w:trPr>
          <w:trHeight w:val="437"/>
        </w:trPr>
        <w:tc>
          <w:tcPr>
            <w:tcW w:w="574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18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" w:type="pct"/>
            <w:tcBorders>
              <w:top w:val="single" w:sz="8" w:space="0" w:color="auto"/>
              <w:bottom w:val="nil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8" w:space="0" w:color="auto"/>
              <w:bottom w:val="single" w:sz="8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59</w:t>
            </w:r>
          </w:p>
        </w:tc>
      </w:tr>
      <w:tr w:rsidR="00012E22">
        <w:trPr>
          <w:trHeight w:val="307"/>
        </w:trPr>
        <w:tc>
          <w:tcPr>
            <w:tcW w:w="574" w:type="pct"/>
            <w:tcBorders>
              <w:top w:val="nil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418" w:type="pct"/>
            <w:tcBorders>
              <w:top w:val="nil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1" w:type="pct"/>
            <w:tcBorders>
              <w:top w:val="nil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53" w:type="pct"/>
            <w:tcBorders>
              <w:top w:val="nil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53" w:type="pct"/>
            <w:tcBorders>
              <w:top w:val="nil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53" w:type="pct"/>
            <w:tcBorders>
              <w:top w:val="nil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65" w:type="pct"/>
            <w:tcBorders>
              <w:top w:val="nil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53" w:type="pct"/>
            <w:tcBorders>
              <w:top w:val="nil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0.536</w:t>
            </w:r>
          </w:p>
        </w:tc>
        <w:tc>
          <w:tcPr>
            <w:tcW w:w="51" w:type="pct"/>
            <w:tcBorders>
              <w:top w:val="nil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012E22" w:rsidRPr="008C376A" w:rsidRDefault="00012E22" w:rsidP="008C376A">
            <w:pPr>
              <w:spacing w:line="48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C376A">
              <w:rPr>
                <w:rFonts w:ascii="Times New Roman" w:cs="Times New Roman"/>
                <w:sz w:val="24"/>
                <w:szCs w:val="24"/>
              </w:rPr>
              <w:t>0.795</w:t>
            </w:r>
          </w:p>
        </w:tc>
      </w:tr>
    </w:tbl>
    <w:p w:rsidR="00012E22" w:rsidRDefault="00012E22" w:rsidP="00D65D6B">
      <w:pPr>
        <w:wordWrap/>
        <w:adjustRightInd w:val="0"/>
        <w:spacing w:line="480" w:lineRule="auto"/>
        <w:jc w:val="center"/>
        <w:rPr>
          <w:rFonts w:ascii="Arial" w:eastAsia="Malgun Gothic" w:hAnsi="Arial" w:cs="Times New Roman"/>
          <w:color w:val="000000"/>
          <w:kern w:val="0"/>
          <w:sz w:val="18"/>
          <w:szCs w:val="18"/>
        </w:rPr>
      </w:pPr>
    </w:p>
    <w:p w:rsidR="00012E22" w:rsidRPr="00D21AD6" w:rsidRDefault="00012E22" w:rsidP="003776CB">
      <w:pPr>
        <w:widowControl/>
        <w:wordWrap/>
        <w:autoSpaceDE/>
        <w:autoSpaceDN/>
        <w:spacing w:line="480" w:lineRule="auto"/>
        <w:jc w:val="center"/>
        <w:rPr>
          <w:rFonts w:cs="Times New Roman"/>
        </w:rPr>
      </w:pPr>
    </w:p>
    <w:p w:rsidR="00012E22" w:rsidRDefault="00012E22" w:rsidP="00D65D6B">
      <w:pPr>
        <w:widowControl/>
        <w:wordWrap/>
        <w:autoSpaceDE/>
        <w:autoSpaceDN/>
        <w:spacing w:line="480" w:lineRule="auto"/>
        <w:jc w:val="left"/>
        <w:rPr>
          <w:rFonts w:cs="Times New Roman"/>
        </w:rPr>
      </w:pPr>
    </w:p>
    <w:sectPr w:rsidR="00012E22" w:rsidSect="003776CB">
      <w:footerReference w:type="default" r:id="rId7"/>
      <w:pgSz w:w="15840" w:h="12240" w:orient="landscape" w:code="1"/>
      <w:pgMar w:top="1440" w:right="1440" w:bottom="1440" w:left="1440" w:header="851" w:footer="992" w:gutter="0"/>
      <w:cols w:space="425"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4B" w:rsidRDefault="00D62B4B" w:rsidP="00F276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2B4B" w:rsidRDefault="00D62B4B" w:rsidP="00F276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22" w:rsidRDefault="00012E22">
    <w:pPr>
      <w:pStyle w:val="Footer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47D10" w:rsidRPr="00947D10">
      <w:rPr>
        <w:noProof/>
        <w:lang w:val="ko-KR"/>
      </w:rPr>
      <w:t>3</w:t>
    </w:r>
    <w:r>
      <w:fldChar w:fldCharType="end"/>
    </w:r>
  </w:p>
  <w:p w:rsidR="00012E22" w:rsidRDefault="00012E22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4B" w:rsidRDefault="00D62B4B" w:rsidP="00F276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2B4B" w:rsidRDefault="00D62B4B" w:rsidP="00F276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29"/>
    <w:rsid w:val="000065FE"/>
    <w:rsid w:val="000119B1"/>
    <w:rsid w:val="00012E22"/>
    <w:rsid w:val="00084422"/>
    <w:rsid w:val="000A2863"/>
    <w:rsid w:val="000B5B90"/>
    <w:rsid w:val="000C4741"/>
    <w:rsid w:val="000E1F7C"/>
    <w:rsid w:val="00112294"/>
    <w:rsid w:val="00121FEA"/>
    <w:rsid w:val="00124A90"/>
    <w:rsid w:val="00141232"/>
    <w:rsid w:val="00144D08"/>
    <w:rsid w:val="001520CA"/>
    <w:rsid w:val="00157FBF"/>
    <w:rsid w:val="001978F3"/>
    <w:rsid w:val="001A58F4"/>
    <w:rsid w:val="001D0E47"/>
    <w:rsid w:val="001D551B"/>
    <w:rsid w:val="001F25F8"/>
    <w:rsid w:val="00202377"/>
    <w:rsid w:val="00225DFF"/>
    <w:rsid w:val="00234C7C"/>
    <w:rsid w:val="00292362"/>
    <w:rsid w:val="00295F83"/>
    <w:rsid w:val="002B3D71"/>
    <w:rsid w:val="002B4212"/>
    <w:rsid w:val="00321819"/>
    <w:rsid w:val="00342F5A"/>
    <w:rsid w:val="00344629"/>
    <w:rsid w:val="00362E39"/>
    <w:rsid w:val="0037358C"/>
    <w:rsid w:val="003776CB"/>
    <w:rsid w:val="00377FD3"/>
    <w:rsid w:val="003B0F06"/>
    <w:rsid w:val="003E5A80"/>
    <w:rsid w:val="003F0A0D"/>
    <w:rsid w:val="003F21C3"/>
    <w:rsid w:val="004160B3"/>
    <w:rsid w:val="004273D4"/>
    <w:rsid w:val="00436187"/>
    <w:rsid w:val="004437D1"/>
    <w:rsid w:val="00472B81"/>
    <w:rsid w:val="004D0FD5"/>
    <w:rsid w:val="004D1CE6"/>
    <w:rsid w:val="004D7BCC"/>
    <w:rsid w:val="00524141"/>
    <w:rsid w:val="00561714"/>
    <w:rsid w:val="00570A5A"/>
    <w:rsid w:val="005933AE"/>
    <w:rsid w:val="005B757F"/>
    <w:rsid w:val="005E2E6B"/>
    <w:rsid w:val="00605C33"/>
    <w:rsid w:val="00617052"/>
    <w:rsid w:val="00625277"/>
    <w:rsid w:val="00630BFB"/>
    <w:rsid w:val="0064749F"/>
    <w:rsid w:val="006656FC"/>
    <w:rsid w:val="00676537"/>
    <w:rsid w:val="00686543"/>
    <w:rsid w:val="006B4086"/>
    <w:rsid w:val="006D35E9"/>
    <w:rsid w:val="006F723D"/>
    <w:rsid w:val="00713BC0"/>
    <w:rsid w:val="00754580"/>
    <w:rsid w:val="00755957"/>
    <w:rsid w:val="0077015F"/>
    <w:rsid w:val="00776707"/>
    <w:rsid w:val="00790B6A"/>
    <w:rsid w:val="007A0368"/>
    <w:rsid w:val="00815A46"/>
    <w:rsid w:val="00870024"/>
    <w:rsid w:val="00884C57"/>
    <w:rsid w:val="008A141E"/>
    <w:rsid w:val="008B4B2A"/>
    <w:rsid w:val="008C376A"/>
    <w:rsid w:val="008E3F16"/>
    <w:rsid w:val="008F5EC7"/>
    <w:rsid w:val="00907A45"/>
    <w:rsid w:val="00930F72"/>
    <w:rsid w:val="00932375"/>
    <w:rsid w:val="00933F37"/>
    <w:rsid w:val="00947D10"/>
    <w:rsid w:val="00956815"/>
    <w:rsid w:val="009B5865"/>
    <w:rsid w:val="00A10A99"/>
    <w:rsid w:val="00A24CB3"/>
    <w:rsid w:val="00A450D9"/>
    <w:rsid w:val="00A5440D"/>
    <w:rsid w:val="00A75F12"/>
    <w:rsid w:val="00A7721C"/>
    <w:rsid w:val="00AA07B6"/>
    <w:rsid w:val="00AC4DA7"/>
    <w:rsid w:val="00AF4B89"/>
    <w:rsid w:val="00B0494B"/>
    <w:rsid w:val="00B1721C"/>
    <w:rsid w:val="00B32C77"/>
    <w:rsid w:val="00B36E6E"/>
    <w:rsid w:val="00B73013"/>
    <w:rsid w:val="00B82DD5"/>
    <w:rsid w:val="00BC65C8"/>
    <w:rsid w:val="00BE5AFA"/>
    <w:rsid w:val="00C57B57"/>
    <w:rsid w:val="00C6481A"/>
    <w:rsid w:val="00C97B75"/>
    <w:rsid w:val="00CC4924"/>
    <w:rsid w:val="00CE23A4"/>
    <w:rsid w:val="00CF190B"/>
    <w:rsid w:val="00D21AD6"/>
    <w:rsid w:val="00D62B4B"/>
    <w:rsid w:val="00D65D6B"/>
    <w:rsid w:val="00D75B2D"/>
    <w:rsid w:val="00D9309C"/>
    <w:rsid w:val="00D9508B"/>
    <w:rsid w:val="00DB6389"/>
    <w:rsid w:val="00DC7118"/>
    <w:rsid w:val="00DD45E5"/>
    <w:rsid w:val="00DE3120"/>
    <w:rsid w:val="00E233D8"/>
    <w:rsid w:val="00E90750"/>
    <w:rsid w:val="00E96CA5"/>
    <w:rsid w:val="00EB5DF9"/>
    <w:rsid w:val="00EC1278"/>
    <w:rsid w:val="00EC1463"/>
    <w:rsid w:val="00EC172F"/>
    <w:rsid w:val="00EC1BE2"/>
    <w:rsid w:val="00EC5CAF"/>
    <w:rsid w:val="00F06A43"/>
    <w:rsid w:val="00F27666"/>
    <w:rsid w:val="00F5526F"/>
    <w:rsid w:val="00F72419"/>
    <w:rsid w:val="00F9045B"/>
    <w:rsid w:val="00F908D7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29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4629"/>
    <w:rPr>
      <w:rFonts w:cs="Malgun Gothic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76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7666"/>
    <w:rPr>
      <w:rFonts w:ascii="Batang" w:eastAsia="Batang" w:hAnsi="Times New Roman" w:cs="Batang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76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666"/>
    <w:rPr>
      <w:rFonts w:ascii="Batang" w:eastAsia="Batang" w:hAnsi="Times New Roman" w:cs="Batang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23D"/>
    <w:rPr>
      <w:rFonts w:ascii="Malgun Gothic" w:eastAsia="Malgun Gothic" w:hAnsi="Malgun Gothic" w:cs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23D"/>
    <w:rPr>
      <w:rFonts w:ascii="Malgun Gothic" w:eastAsia="Malgun Gothic" w:hAnsi="Malgun Gothic" w:cs="Malgun Gothic"/>
      <w:sz w:val="18"/>
      <w:szCs w:val="18"/>
    </w:rPr>
  </w:style>
  <w:style w:type="character" w:styleId="PageNumber">
    <w:name w:val="page number"/>
    <w:basedOn w:val="DefaultParagraphFont"/>
    <w:uiPriority w:val="99"/>
    <w:rsid w:val="00B82DD5"/>
  </w:style>
  <w:style w:type="paragraph" w:styleId="DocumentMap">
    <w:name w:val="Document Map"/>
    <w:basedOn w:val="Normal"/>
    <w:link w:val="DocumentMapChar"/>
    <w:uiPriority w:val="99"/>
    <w:semiHidden/>
    <w:rsid w:val="004437D1"/>
    <w:rPr>
      <w:rFonts w:ascii="Gulim" w:eastAsia="Gulim" w:cs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37D1"/>
    <w:rPr>
      <w:rFonts w:ascii="Gulim" w:eastAsia="Gulim" w:hAnsi="Times New Roman" w:cs="Gulim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29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4629"/>
    <w:rPr>
      <w:rFonts w:cs="Malgun Gothic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76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7666"/>
    <w:rPr>
      <w:rFonts w:ascii="Batang" w:eastAsia="Batang" w:hAnsi="Times New Roman" w:cs="Batang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76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666"/>
    <w:rPr>
      <w:rFonts w:ascii="Batang" w:eastAsia="Batang" w:hAnsi="Times New Roman" w:cs="Batang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23D"/>
    <w:rPr>
      <w:rFonts w:ascii="Malgun Gothic" w:eastAsia="Malgun Gothic" w:hAnsi="Malgun Gothic" w:cs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23D"/>
    <w:rPr>
      <w:rFonts w:ascii="Malgun Gothic" w:eastAsia="Malgun Gothic" w:hAnsi="Malgun Gothic" w:cs="Malgun Gothic"/>
      <w:sz w:val="18"/>
      <w:szCs w:val="18"/>
    </w:rPr>
  </w:style>
  <w:style w:type="character" w:styleId="PageNumber">
    <w:name w:val="page number"/>
    <w:basedOn w:val="DefaultParagraphFont"/>
    <w:uiPriority w:val="99"/>
    <w:rsid w:val="00B82DD5"/>
  </w:style>
  <w:style w:type="paragraph" w:styleId="DocumentMap">
    <w:name w:val="Document Map"/>
    <w:basedOn w:val="Normal"/>
    <w:link w:val="DocumentMapChar"/>
    <w:uiPriority w:val="99"/>
    <w:semiHidden/>
    <w:rsid w:val="004437D1"/>
    <w:rPr>
      <w:rFonts w:ascii="Gulim" w:eastAsia="Gulim" w:cs="Gulim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437D1"/>
    <w:rPr>
      <w:rFonts w:ascii="Gulim" w:eastAsia="Gulim" w:hAnsi="Times New Roman" w:cs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Web-only tables</vt:lpstr>
    </vt:vector>
  </TitlesOfParts>
  <Company>YUMC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Web-only tables</dc:title>
  <dc:creator>허지회</dc:creator>
  <cp:lastModifiedBy>Michelle English</cp:lastModifiedBy>
  <cp:revision>2</cp:revision>
  <dcterms:created xsi:type="dcterms:W3CDTF">2011-04-04T19:28:00Z</dcterms:created>
  <dcterms:modified xsi:type="dcterms:W3CDTF">2011-04-04T19:28:00Z</dcterms:modified>
</cp:coreProperties>
</file>